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Grille d’évaluation pratique – DUERP : Postures sédentaires au travail</w:t>
      </w:r>
    </w:p>
    <w:p>
      <w:r>
        <w:t>Cette grille est un outil pratique destiné aux élus du CSE pour évaluer les situations de sédentarité au travail et alimenter le Document unique d’évaluation des risques professionnels (DUERP). Elle permet de repérer les facteurs de risques, d’identifier les actions correctives possibles et de suivre leur mise en œuvre.</w:t>
      </w:r>
    </w:p>
    <w:tbl>
      <w:tblPr>
        <w:tblStyle w:val="TableGrid"/>
        <w:tblW w:type="auto" w:w="0"/>
        <w:tblLook w:firstColumn="1" w:firstRow="1" w:lastColumn="0" w:lastRow="0" w:noHBand="0" w:noVBand="1" w:val="04A0"/>
      </w:tblPr>
      <w:tblGrid>
        <w:gridCol w:w="1728"/>
        <w:gridCol w:w="1728"/>
        <w:gridCol w:w="1728"/>
        <w:gridCol w:w="1728"/>
        <w:gridCol w:w="1728"/>
      </w:tblGrid>
      <w:tr>
        <w:tc>
          <w:tcPr>
            <w:tcW w:type="dxa" w:w="1728"/>
          </w:tcPr>
          <w:p>
            <w:r>
              <w:rPr>
                <w:b/>
                <w:sz w:val="20"/>
              </w:rPr>
              <w:t>Poste/activité observé</w:t>
            </w:r>
          </w:p>
        </w:tc>
        <w:tc>
          <w:tcPr>
            <w:tcW w:type="dxa" w:w="1728"/>
          </w:tcPr>
          <w:p>
            <w:r>
              <w:rPr>
                <w:b/>
                <w:sz w:val="20"/>
              </w:rPr>
              <w:t>Durée de la posture assise</w:t>
            </w:r>
          </w:p>
        </w:tc>
        <w:tc>
          <w:tcPr>
            <w:tcW w:type="dxa" w:w="1728"/>
          </w:tcPr>
          <w:p>
            <w:r>
              <w:rPr>
                <w:b/>
                <w:sz w:val="20"/>
              </w:rPr>
              <w:t>Facteurs aggravants (écran, manque de pauses…)</w:t>
            </w:r>
          </w:p>
        </w:tc>
        <w:tc>
          <w:tcPr>
            <w:tcW w:type="dxa" w:w="1728"/>
          </w:tcPr>
          <w:p>
            <w:r>
              <w:rPr>
                <w:b/>
                <w:sz w:val="20"/>
              </w:rPr>
              <w:t>Actions de prévention envisagées</w:t>
            </w:r>
          </w:p>
        </w:tc>
        <w:tc>
          <w:tcPr>
            <w:tcW w:type="dxa" w:w="1728"/>
          </w:tcPr>
          <w:p>
            <w:r>
              <w:rPr>
                <w:b/>
                <w:sz w:val="20"/>
              </w:rPr>
              <w:t>Observations/Commentaires</w:t>
            </w:r>
          </w:p>
        </w:tc>
      </w:tr>
      <w:tr>
        <w:tc>
          <w:tcPr>
            <w:tcW w:type="dxa" w:w="1728"/>
          </w:tcPr>
          <w:p>
            <w:r/>
          </w:p>
        </w:tc>
        <w:tc>
          <w:tcPr>
            <w:tcW w:type="dxa" w:w="1728"/>
          </w:tcPr>
          <w:p>
            <w:r/>
          </w:p>
        </w:tc>
        <w:tc>
          <w:tcPr>
            <w:tcW w:type="dxa" w:w="1728"/>
          </w:tcPr>
          <w:p>
            <w:r/>
          </w:p>
        </w:tc>
        <w:tc>
          <w:tcPr>
            <w:tcW w:type="dxa" w:w="1728"/>
          </w:tcPr>
          <w:p>
            <w:r/>
          </w:p>
        </w:tc>
        <w:tc>
          <w:tcPr>
            <w:tcW w:type="dxa" w:w="1728"/>
          </w:tcPr>
          <w:p>
            <w:r/>
          </w:p>
        </w:tc>
      </w:tr>
      <w:tr>
        <w:tc>
          <w:tcPr>
            <w:tcW w:type="dxa" w:w="1728"/>
          </w:tcPr>
          <w:p>
            <w:r/>
          </w:p>
        </w:tc>
        <w:tc>
          <w:tcPr>
            <w:tcW w:type="dxa" w:w="1728"/>
          </w:tcPr>
          <w:p>
            <w:r/>
          </w:p>
        </w:tc>
        <w:tc>
          <w:tcPr>
            <w:tcW w:type="dxa" w:w="1728"/>
          </w:tcPr>
          <w:p>
            <w:r/>
          </w:p>
        </w:tc>
        <w:tc>
          <w:tcPr>
            <w:tcW w:type="dxa" w:w="1728"/>
          </w:tcPr>
          <w:p>
            <w:r/>
          </w:p>
        </w:tc>
        <w:tc>
          <w:tcPr>
            <w:tcW w:type="dxa" w:w="1728"/>
          </w:tcPr>
          <w:p>
            <w:r/>
          </w:p>
        </w:tc>
      </w:tr>
      <w:tr>
        <w:tc>
          <w:tcPr>
            <w:tcW w:type="dxa" w:w="1728"/>
          </w:tcPr>
          <w:p>
            <w:r/>
          </w:p>
        </w:tc>
        <w:tc>
          <w:tcPr>
            <w:tcW w:type="dxa" w:w="1728"/>
          </w:tcPr>
          <w:p>
            <w:r/>
          </w:p>
        </w:tc>
        <w:tc>
          <w:tcPr>
            <w:tcW w:type="dxa" w:w="1728"/>
          </w:tcPr>
          <w:p>
            <w:r/>
          </w:p>
        </w:tc>
        <w:tc>
          <w:tcPr>
            <w:tcW w:type="dxa" w:w="1728"/>
          </w:tcPr>
          <w:p>
            <w:r/>
          </w:p>
        </w:tc>
        <w:tc>
          <w:tcPr>
            <w:tcW w:type="dxa" w:w="1728"/>
          </w:tcPr>
          <w:p>
            <w:r/>
          </w:p>
        </w:tc>
      </w:tr>
      <w:tr>
        <w:tc>
          <w:tcPr>
            <w:tcW w:type="dxa" w:w="1728"/>
          </w:tcPr>
          <w:p>
            <w:r/>
          </w:p>
        </w:tc>
        <w:tc>
          <w:tcPr>
            <w:tcW w:type="dxa" w:w="1728"/>
          </w:tcPr>
          <w:p>
            <w:r/>
          </w:p>
        </w:tc>
        <w:tc>
          <w:tcPr>
            <w:tcW w:type="dxa" w:w="1728"/>
          </w:tcPr>
          <w:p>
            <w:r/>
          </w:p>
        </w:tc>
        <w:tc>
          <w:tcPr>
            <w:tcW w:type="dxa" w:w="1728"/>
          </w:tcPr>
          <w:p>
            <w:r/>
          </w:p>
        </w:tc>
        <w:tc>
          <w:tcPr>
            <w:tcW w:type="dxa" w:w="1728"/>
          </w:tcPr>
          <w:p>
            <w:r/>
          </w:p>
        </w:tc>
      </w:tr>
      <w:tr>
        <w:tc>
          <w:tcPr>
            <w:tcW w:type="dxa" w:w="1728"/>
          </w:tcPr>
          <w:p>
            <w:r/>
          </w:p>
        </w:tc>
        <w:tc>
          <w:tcPr>
            <w:tcW w:type="dxa" w:w="1728"/>
          </w:tcPr>
          <w:p>
            <w:r/>
          </w:p>
        </w:tc>
        <w:tc>
          <w:tcPr>
            <w:tcW w:type="dxa" w:w="1728"/>
          </w:tcPr>
          <w:p>
            <w:r/>
          </w:p>
        </w:tc>
        <w:tc>
          <w:tcPr>
            <w:tcW w:type="dxa" w:w="1728"/>
          </w:tcPr>
          <w:p>
            <w:r/>
          </w:p>
        </w:tc>
        <w:tc>
          <w:tcPr>
            <w:tcW w:type="dxa" w:w="1728"/>
          </w:tcPr>
          <w:p>
            <w:r/>
          </w:p>
        </w:tc>
      </w:tr>
    </w:tbl>
    <w:p>
      <w:r>
        <w:br/>
        <w:t>Consignes d’utilisation :</w:t>
      </w:r>
    </w:p>
    <w:p>
      <w:r>
        <w:t>- Utiliser cette grille lors des visites ou enquêtes de la CSSCT ou du CSE.</w:t>
      </w:r>
    </w:p>
    <w:p>
      <w:r>
        <w:t>- Noter les postes ou situations observées et les durées de sédentarité.</w:t>
      </w:r>
    </w:p>
    <w:p>
      <w:r>
        <w:t>- Identifier les facteurs aggravants (absence de pauses, mobilier inadapté, temps d’écran prolongé…).</w:t>
      </w:r>
    </w:p>
    <w:p>
      <w:r>
        <w:t>- Proposer des actions correctives (aménagements, pauses actives, ergonomie).</w:t>
      </w:r>
    </w:p>
    <w:p>
      <w:r>
        <w:t>- Suivre la mise en œuvre et inscrire les actions dans le DUERP.</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